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0C44DC" w:rsidRPr="000C44DC" w14:paraId="644FF8F3" w14:textId="77777777" w:rsidTr="00A619C8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03BBCD2D" w14:textId="77777777" w:rsidR="000C44DC" w:rsidRPr="000C44DC" w:rsidRDefault="000C44DC" w:rsidP="000C44DC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73"/>
            <w:r w:rsidRPr="000C44DC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αρ.40: </w:t>
            </w:r>
            <w:r w:rsidRPr="000C44DC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Δείγμα Διαδικαστικών Οδηγιών</w:t>
            </w:r>
            <w:bookmarkEnd w:id="0"/>
          </w:p>
          <w:p w14:paraId="56BAE940" w14:textId="77777777" w:rsidR="000C44DC" w:rsidRPr="000C44DC" w:rsidRDefault="000C44DC" w:rsidP="000C44DC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bCs/>
                <w:sz w:val="24"/>
                <w:szCs w:val="24"/>
                <w:lang w:val="el-GR"/>
              </w:rPr>
              <w:t>Μέρος 30 Κανονισμός 2(2)</w:t>
            </w:r>
          </w:p>
          <w:p w14:paraId="5B93150A" w14:textId="77777777" w:rsidR="000C44DC" w:rsidRPr="000C44DC" w:rsidRDefault="000C44DC" w:rsidP="000C44D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349B03D7" w14:textId="77777777" w:rsidR="000C44DC" w:rsidRPr="000C44DC" w:rsidRDefault="000C44DC" w:rsidP="000C44DC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0C44DC" w:rsidRPr="000C44DC" w14:paraId="0DCAA39C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39EF1577" w14:textId="77777777" w:rsidR="000C44DC" w:rsidRPr="000C44DC" w:rsidRDefault="000C44DC" w:rsidP="000C44DC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…………………..</w:t>
                  </w:r>
                </w:p>
                <w:p w14:paraId="24173F36" w14:textId="77777777" w:rsidR="000C44DC" w:rsidRPr="000C44DC" w:rsidRDefault="000C44DC" w:rsidP="000C44DC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</w:t>
                  </w:r>
                </w:p>
                <w:p w14:paraId="2AE0D150" w14:textId="77777777" w:rsidR="000C44DC" w:rsidRPr="000C44DC" w:rsidRDefault="000C44DC" w:rsidP="000C44DC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Κάτω των €10,000/ Άνω των €10,000</w:t>
                  </w:r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ab/>
                  </w:r>
                </w:p>
              </w:tc>
            </w:tr>
            <w:tr w:rsidR="000C44DC" w:rsidRPr="000C44DC" w14:paraId="42197FB8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31F35E55" w14:textId="77777777" w:rsidR="000C44DC" w:rsidRPr="000C44DC" w:rsidRDefault="000C44DC" w:rsidP="000C44DC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186" w:type="dxa"/>
                </w:tcPr>
                <w:p w14:paraId="6076A15E" w14:textId="77777777" w:rsidR="000C44DC" w:rsidRPr="000C44DC" w:rsidRDefault="000C44DC" w:rsidP="000C44DC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0C44DC" w:rsidRPr="000C44DC" w14:paraId="66DF573B" w14:textId="77777777" w:rsidTr="00A619C8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67459740" w14:textId="77777777" w:rsidR="000C44DC" w:rsidRPr="000C44DC" w:rsidRDefault="000C44DC" w:rsidP="000C44DC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73C8512E" w14:textId="77777777" w:rsidR="000C44DC" w:rsidRPr="000C44DC" w:rsidRDefault="000C44DC" w:rsidP="000C44DC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0C44DC" w:rsidRPr="000C44DC" w14:paraId="131DB75A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212266A6" w14:textId="77777777" w:rsidR="000C44DC" w:rsidRPr="000C44DC" w:rsidRDefault="000C44DC" w:rsidP="000C44DC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0C44D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3FC8BD94" w14:textId="77777777" w:rsidR="000C44DC" w:rsidRPr="000C44DC" w:rsidRDefault="000C44DC" w:rsidP="000C44DC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760FB057" w14:textId="77777777" w:rsidR="000C44DC" w:rsidRPr="000C44DC" w:rsidRDefault="000C44DC" w:rsidP="000C44DC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52ECDFBB" w14:textId="77777777" w:rsidR="000C44DC" w:rsidRPr="000C44DC" w:rsidRDefault="000C44DC" w:rsidP="000C44DC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6B0E7152" w14:textId="77777777" w:rsidR="000C44DC" w:rsidRPr="000C44DC" w:rsidRDefault="000C44DC" w:rsidP="000C44D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0C44DC" w:rsidRPr="000C44DC" w14:paraId="1F860171" w14:textId="77777777" w:rsidTr="00A619C8">
        <w:trPr>
          <w:trHeight w:val="1057"/>
        </w:trPr>
        <w:tc>
          <w:tcPr>
            <w:tcW w:w="9050" w:type="dxa"/>
            <w:tcBorders>
              <w:bottom w:val="single" w:sz="4" w:space="0" w:color="auto"/>
            </w:tcBorders>
          </w:tcPr>
          <w:p w14:paraId="241E37F9" w14:textId="77777777" w:rsidR="000C44DC" w:rsidRPr="000C44DC" w:rsidRDefault="000C44DC" w:rsidP="000C44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561590" w14:textId="77777777" w:rsidR="000C44DC" w:rsidRPr="000C44DC" w:rsidRDefault="000C44DC" w:rsidP="000C44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ΔΙΑΔΙΚΑΣΤΙΚΕΣ ΟΔΗΓΙΕΣ ΗΜΕΡΟΜΗΝΙΑΣ ………</w:t>
            </w:r>
            <w:proofErr w:type="gramStart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0C44DC" w:rsidRPr="000C44DC" w14:paraId="2A407732" w14:textId="77777777" w:rsidTr="00A619C8">
        <w:trPr>
          <w:trHeight w:val="1057"/>
        </w:trPr>
        <w:tc>
          <w:tcPr>
            <w:tcW w:w="9050" w:type="dxa"/>
            <w:tcBorders>
              <w:bottom w:val="single" w:sz="4" w:space="0" w:color="auto"/>
            </w:tcBorders>
          </w:tcPr>
          <w:p w14:paraId="72F21481" w14:textId="77777777" w:rsidR="000C44DC" w:rsidRPr="000C44DC" w:rsidRDefault="000C44DC" w:rsidP="000C44D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C098B81" w14:textId="77777777" w:rsidR="000C44DC" w:rsidRPr="000C44DC" w:rsidRDefault="000C44DC" w:rsidP="000C44D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 xml:space="preserve">Κατόπιν συνάντησης με τους δικηγόρους του Ενάγοντα και του Εναγόμενου αναφορικά με την διαχείριση της υπόθεσης, </w:t>
            </w:r>
          </w:p>
          <w:p w14:paraId="2539AA68" w14:textId="77777777" w:rsidR="000C44DC" w:rsidRPr="000C44DC" w:rsidRDefault="000C44DC" w:rsidP="000C44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04B29C1" w14:textId="77777777" w:rsidR="000C44DC" w:rsidRPr="000C44DC" w:rsidRDefault="000C44DC" w:rsidP="000C44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ΔΙΑΤΑΣΣΟΝΤΑΙ τα π</w:t>
            </w:r>
            <w:proofErr w:type="spellStart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ιο</w:t>
            </w:r>
            <w:proofErr w:type="spellEnd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κάτω</w:t>
            </w:r>
            <w:proofErr w:type="spellEnd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4E8DA003" w14:textId="77777777" w:rsidR="000C44DC" w:rsidRPr="000C44DC" w:rsidRDefault="000C44DC" w:rsidP="000C44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4DC" w:rsidRPr="000C44DC" w14:paraId="45D25918" w14:textId="77777777" w:rsidTr="00A619C8">
        <w:trPr>
          <w:trHeight w:val="2426"/>
        </w:trPr>
        <w:tc>
          <w:tcPr>
            <w:tcW w:w="9050" w:type="dxa"/>
            <w:tcBorders>
              <w:bottom w:val="single" w:sz="4" w:space="0" w:color="auto"/>
            </w:tcBorders>
          </w:tcPr>
          <w:p w14:paraId="0629866B" w14:textId="77777777" w:rsidR="000C44DC" w:rsidRPr="000C44DC" w:rsidRDefault="000C44DC" w:rsidP="000C44D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1674C4" w14:textId="77777777" w:rsidR="000C44DC" w:rsidRPr="000C44DC" w:rsidRDefault="000C44DC" w:rsidP="000C44D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ΕΝΟΤΗΤΑ Α – </w:t>
            </w:r>
            <w:proofErr w:type="spellStart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Χρονοδιάγρ</w:t>
            </w:r>
            <w:proofErr w:type="spellEnd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αμμα </w:t>
            </w:r>
            <w:proofErr w:type="spellStart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της</w:t>
            </w:r>
            <w:proofErr w:type="spellEnd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δι</w:t>
            </w:r>
            <w:proofErr w:type="spellEnd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αδικασίας</w:t>
            </w:r>
          </w:p>
          <w:p w14:paraId="328A3807" w14:textId="77777777" w:rsidR="000C44DC" w:rsidRPr="000C44DC" w:rsidRDefault="000C44DC" w:rsidP="000C44D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94408E" w14:textId="77777777" w:rsidR="000C44DC" w:rsidRPr="000C44DC" w:rsidRDefault="000C44DC" w:rsidP="000C44D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 xml:space="preserve">Τα μέρη θα πρέπει να συμμορφωθούν με το χρονοδιάγραμμα της διαδικασίας που επισυνάπτεται στην παρούσα διαδικαστική οδηγία. </w:t>
            </w:r>
          </w:p>
          <w:p w14:paraId="017D7A88" w14:textId="77777777" w:rsidR="000C44DC" w:rsidRPr="000C44DC" w:rsidRDefault="000C44DC" w:rsidP="000C44D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C44DC" w:rsidRPr="000C44DC" w14:paraId="0EE28853" w14:textId="77777777" w:rsidTr="00A619C8">
        <w:trPr>
          <w:trHeight w:val="3531"/>
        </w:trPr>
        <w:tc>
          <w:tcPr>
            <w:tcW w:w="9050" w:type="dxa"/>
            <w:tcBorders>
              <w:top w:val="single" w:sz="4" w:space="0" w:color="auto"/>
            </w:tcBorders>
          </w:tcPr>
          <w:p w14:paraId="31B0D592" w14:textId="77777777" w:rsidR="000C44DC" w:rsidRPr="000C44DC" w:rsidRDefault="000C44DC" w:rsidP="000C44DC">
            <w:pPr>
              <w:rPr>
                <w:rFonts w:ascii="Arial" w:hAnsi="Arial" w:cs="Arial"/>
                <w:lang w:val="el-GR"/>
              </w:rPr>
            </w:pPr>
            <w:r w:rsidRPr="000C44DC">
              <w:rPr>
                <w:rFonts w:ascii="Arial" w:hAnsi="Arial" w:cs="Arial"/>
                <w:lang w:val="el-GR"/>
              </w:rPr>
              <w:t xml:space="preserve"> </w:t>
            </w:r>
          </w:p>
          <w:p w14:paraId="67FE1DE6" w14:textId="77777777" w:rsidR="000C44DC" w:rsidRPr="000C44DC" w:rsidRDefault="000C44DC" w:rsidP="000C44D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ΕΝΟΤΗΤΑ Β - </w:t>
            </w:r>
            <w:proofErr w:type="spellStart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Πρ</w:t>
            </w:r>
            <w:proofErr w:type="spellEnd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αγματογνώμονες</w:t>
            </w:r>
          </w:p>
          <w:p w14:paraId="1ACDF4EC" w14:textId="77777777" w:rsidR="000C44DC" w:rsidRPr="000C44DC" w:rsidRDefault="000C44DC" w:rsidP="000C44DC">
            <w:pPr>
              <w:rPr>
                <w:rFonts w:ascii="Arial" w:hAnsi="Arial" w:cs="Arial"/>
              </w:rPr>
            </w:pPr>
          </w:p>
          <w:p w14:paraId="6A39B894" w14:textId="77777777" w:rsidR="000C44DC" w:rsidRPr="000C44DC" w:rsidRDefault="000C44DC" w:rsidP="000C44DC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 xml:space="preserve">Οι υπογεγραμμένες εκθέσεις πραγματογνωμόνων να περιορίζονται σε έναν </w:t>
            </w:r>
            <w:proofErr w:type="spellStart"/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>πραγατογνώμονα</w:t>
            </w:r>
            <w:proofErr w:type="spellEnd"/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 xml:space="preserve"> για τον Ενάγοντα και έναν για κάθε έναν από τους Εναγόμενους για κάθε ένα από τα ακόλουθα πεδία πραγματογνωμοσύνης και για τα ακόλουθα θέματα:</w:t>
            </w:r>
          </w:p>
          <w:p w14:paraId="436B0478" w14:textId="77777777" w:rsidR="000C44DC" w:rsidRPr="000C44DC" w:rsidRDefault="000C44DC" w:rsidP="000C44DC">
            <w:pPr>
              <w:spacing w:line="276" w:lineRule="auto"/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B974F59" w14:textId="77777777" w:rsidR="000C44DC" w:rsidRPr="000C44DC" w:rsidRDefault="000C44DC" w:rsidP="000C44DC">
            <w:pPr>
              <w:numPr>
                <w:ilvl w:val="1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>Επενδύσεις και αποτίμηση έργων ακινήτων σε θέματα (</w:t>
            </w:r>
            <w:r w:rsidRPr="000C44DC">
              <w:rPr>
                <w:rFonts w:ascii="Arial" w:hAnsi="Arial" w:cs="Arial"/>
                <w:sz w:val="24"/>
                <w:szCs w:val="24"/>
              </w:rPr>
              <w:t>i</w:t>
            </w: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>) του κόστους ανάπτυξης και των σταδίων που απαιτούνται για την ανάπτυξη, της του ακινήτου Χ, (</w:t>
            </w:r>
            <w:r w:rsidRPr="000C44DC">
              <w:rPr>
                <w:rFonts w:ascii="Arial" w:hAnsi="Arial" w:cs="Arial"/>
                <w:sz w:val="24"/>
                <w:szCs w:val="24"/>
              </w:rPr>
              <w:t>ii</w:t>
            </w: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 xml:space="preserve">) της αναμενόμενης αξίας της του ακινήτου Χ σε περίπτωση </w:t>
            </w: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επιτυχούς ανάπτυξης σύμφωνα με την πολεοδομική άδεια και (</w:t>
            </w:r>
            <w:r w:rsidRPr="000C44DC">
              <w:rPr>
                <w:rFonts w:ascii="Arial" w:hAnsi="Arial" w:cs="Arial"/>
                <w:sz w:val="24"/>
                <w:szCs w:val="24"/>
              </w:rPr>
              <w:t>iii</w:t>
            </w: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>) της αξίας της εταιρείας Χ.</w:t>
            </w:r>
          </w:p>
          <w:p w14:paraId="76CC0EC7" w14:textId="77777777" w:rsidR="000C44DC" w:rsidRPr="000C44DC" w:rsidRDefault="000C44DC" w:rsidP="000C44DC">
            <w:pPr>
              <w:spacing w:line="276" w:lineRule="auto"/>
              <w:ind w:left="1178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D5FD578" w14:textId="77777777" w:rsidR="000C44DC" w:rsidRPr="000C44DC" w:rsidRDefault="000C44DC" w:rsidP="000C44DC">
            <w:pPr>
              <w:numPr>
                <w:ilvl w:val="1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>Ο Ισπανικός Νόμος περί παραγραφής.</w:t>
            </w:r>
          </w:p>
          <w:p w14:paraId="308D02BC" w14:textId="77777777" w:rsidR="000C44DC" w:rsidRPr="000C44DC" w:rsidRDefault="000C44DC" w:rsidP="000C44DC">
            <w:pPr>
              <w:ind w:left="720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CAEAB3B" w14:textId="77777777" w:rsidR="000C44DC" w:rsidRPr="000C44DC" w:rsidRDefault="000C44DC" w:rsidP="000C44D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l-GR" w:eastAsia="el-GR"/>
              </w:rPr>
            </w:pPr>
            <w:r w:rsidRPr="000C44DC">
              <w:rPr>
                <w:rFonts w:ascii="Arial" w:hAnsi="Arial" w:cs="Arial"/>
                <w:lang w:val="el-GR" w:eastAsia="el-GR"/>
              </w:rPr>
              <w:t>Με εξαίρεση τα ζητήματα για τα οποία έχει δοθεί άδεια πραγματογνωμοσύνης στην παράγραφο 2.2 ανωτέρω, ο Ισπανικός Νόμος θα θεωρείται ότι είναι ο ίδιος με τον Κυπριακό Νόμο.</w:t>
            </w:r>
          </w:p>
          <w:p w14:paraId="43EBD478" w14:textId="77777777" w:rsidR="000C44DC" w:rsidRPr="000C44DC" w:rsidRDefault="000C44DC" w:rsidP="000C44DC">
            <w:pPr>
              <w:ind w:left="720"/>
              <w:contextualSpacing/>
              <w:rPr>
                <w:rFonts w:ascii="Arial" w:hAnsi="Arial" w:cs="Arial"/>
                <w:lang w:val="el-GR" w:eastAsia="el-GR"/>
              </w:rPr>
            </w:pPr>
          </w:p>
          <w:p w14:paraId="4942D7DC" w14:textId="77777777" w:rsidR="000C44DC" w:rsidRPr="000C44DC" w:rsidRDefault="000C44DC" w:rsidP="000C44D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l-GR" w:eastAsia="el-GR"/>
              </w:rPr>
            </w:pPr>
            <w:r w:rsidRPr="000C44DC">
              <w:rPr>
                <w:rFonts w:ascii="Arial" w:hAnsi="Arial" w:cs="Arial"/>
                <w:lang w:val="el-GR" w:eastAsia="el-GR"/>
              </w:rPr>
              <w:t xml:space="preserve">Εάν οι εκθέσεις πραγματογνωμόνων δεν μπορούν να συμφωνηθούν, οι διάδικοι είναι ελεύθεροι να καλέσουν πραγματογνώμονες στη δίκη, περιοριζόμενοι στους πραγματογνώμονες των οποίων οι εκθέσεις έχουν </w:t>
            </w:r>
            <w:proofErr w:type="spellStart"/>
            <w:r w:rsidRPr="000C44DC">
              <w:rPr>
                <w:rFonts w:ascii="Arial" w:hAnsi="Arial" w:cs="Arial"/>
                <w:lang w:val="el-GR" w:eastAsia="el-GR"/>
              </w:rPr>
              <w:t>ανταλλαγεί</w:t>
            </w:r>
            <w:proofErr w:type="spellEnd"/>
            <w:r w:rsidRPr="000C44DC">
              <w:rPr>
                <w:rFonts w:ascii="Arial" w:hAnsi="Arial" w:cs="Arial"/>
                <w:lang w:val="el-GR" w:eastAsia="el-GR"/>
              </w:rPr>
              <w:t xml:space="preserve"> σύμφωνα με την παρούσα διάταξη.</w:t>
            </w:r>
          </w:p>
          <w:p w14:paraId="245FEBB7" w14:textId="77777777" w:rsidR="000C44DC" w:rsidRPr="000C44DC" w:rsidRDefault="000C44DC" w:rsidP="000C44DC">
            <w:pPr>
              <w:spacing w:line="276" w:lineRule="auto"/>
              <w:ind w:left="49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C44DC" w:rsidRPr="000C44DC" w14:paraId="076AF347" w14:textId="77777777" w:rsidTr="00A619C8">
        <w:trPr>
          <w:trHeight w:val="2825"/>
        </w:trPr>
        <w:tc>
          <w:tcPr>
            <w:tcW w:w="9050" w:type="dxa"/>
            <w:tcBorders>
              <w:top w:val="single" w:sz="4" w:space="0" w:color="auto"/>
            </w:tcBorders>
          </w:tcPr>
          <w:p w14:paraId="23949E83" w14:textId="77777777" w:rsidR="000C44DC" w:rsidRPr="000C44DC" w:rsidRDefault="000C44DC" w:rsidP="000C44DC">
            <w:pPr>
              <w:rPr>
                <w:rFonts w:ascii="Arial" w:hAnsi="Arial" w:cs="Arial"/>
                <w:lang w:val="el-GR"/>
              </w:rPr>
            </w:pPr>
          </w:p>
          <w:p w14:paraId="1791D093" w14:textId="77777777" w:rsidR="000C44DC" w:rsidRPr="000C44DC" w:rsidRDefault="000C44DC" w:rsidP="000C44DC">
            <w:pPr>
              <w:rPr>
                <w:rFonts w:ascii="Arial" w:hAnsi="Arial" w:cs="Arial"/>
                <w:lang w:val="el-GR"/>
              </w:rPr>
            </w:pPr>
            <w:r w:rsidRPr="000C44D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ΕΝΟΤΗΤΑ Γ – Προετοιμασία για τη δίκη</w:t>
            </w:r>
          </w:p>
          <w:p w14:paraId="4FFB47BB" w14:textId="77777777" w:rsidR="000C44DC" w:rsidRPr="000C44DC" w:rsidRDefault="000C44DC" w:rsidP="000C44DC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5FBB0D7" w14:textId="77777777" w:rsidR="000C44DC" w:rsidRPr="000C44DC" w:rsidRDefault="000C44DC" w:rsidP="000C44D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 xml:space="preserve">Το περιεχόμενο δέσμης ή </w:t>
            </w:r>
            <w:proofErr w:type="spellStart"/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>δέσμεων</w:t>
            </w:r>
            <w:proofErr w:type="spellEnd"/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 xml:space="preserve"> εγγράφων για την ακρόαση θα πρέπει να καθοριστεί κατά την προδικαστική εξέταση).</w:t>
            </w:r>
          </w:p>
          <w:p w14:paraId="53BC1520" w14:textId="77777777" w:rsidR="000C44DC" w:rsidRPr="000C44DC" w:rsidRDefault="000C44DC" w:rsidP="000C44DC">
            <w:pPr>
              <w:spacing w:line="276" w:lineRule="auto"/>
              <w:ind w:left="720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183518D" w14:textId="77777777" w:rsidR="000C44DC" w:rsidRPr="000C44DC" w:rsidRDefault="000C44DC" w:rsidP="000C44D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>Το χρονοδιάγραμμα της ακρόασης θα πρέπει να καθοριστεί κατά την προδικαστική εξέταση.</w:t>
            </w:r>
          </w:p>
          <w:p w14:paraId="55DC81C3" w14:textId="77777777" w:rsidR="000C44DC" w:rsidRPr="000C44DC" w:rsidRDefault="000C44DC" w:rsidP="000C44D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0C44DC" w:rsidRPr="000C44DC" w14:paraId="09106F54" w14:textId="77777777" w:rsidTr="00A619C8">
        <w:trPr>
          <w:trHeight w:val="1131"/>
        </w:trPr>
        <w:tc>
          <w:tcPr>
            <w:tcW w:w="9050" w:type="dxa"/>
          </w:tcPr>
          <w:p w14:paraId="2D03B1AD" w14:textId="77777777" w:rsidR="000C44DC" w:rsidRPr="000C44DC" w:rsidRDefault="000C44DC" w:rsidP="000C44DC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01C40D3F" w14:textId="77777777" w:rsidR="000C44DC" w:rsidRPr="000C44DC" w:rsidRDefault="000C44DC" w:rsidP="000C44D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ΕΝΟΤΗΤΑ Δ - Εναλλακτική Επίλυση Διαφορών (ΕΕΔ)</w:t>
            </w:r>
          </w:p>
          <w:p w14:paraId="593CE3BB" w14:textId="77777777" w:rsidR="000C44DC" w:rsidRPr="000C44DC" w:rsidRDefault="000C44DC" w:rsidP="000C44DC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0FF95F78" w14:textId="77777777" w:rsidR="000C44DC" w:rsidRPr="000C44DC" w:rsidRDefault="000C44DC" w:rsidP="000C44DC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>Αναφορικά με τις διαδικασίες ΕΕΔ:</w:t>
            </w:r>
          </w:p>
          <w:p w14:paraId="6CD0439A" w14:textId="77777777" w:rsidR="000C44DC" w:rsidRPr="000C44DC" w:rsidRDefault="000C44DC" w:rsidP="000C44DC">
            <w:pPr>
              <w:numPr>
                <w:ilvl w:val="1"/>
                <w:numId w:val="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Κατά ή πριν από τις ……………….. </w:t>
            </w:r>
            <w:r w:rsidRPr="000C44DC">
              <w:rPr>
                <w:rFonts w:ascii="Arial" w:hAnsi="Arial" w:cs="Arial"/>
                <w:i/>
                <w:iCs/>
                <w:sz w:val="24"/>
                <w:szCs w:val="24"/>
                <w:lang w:val="el-GR" w:eastAsia="el-GR"/>
              </w:rPr>
              <w:t>(ημερομηνία),</w:t>
            </w: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 ο Ενάγων και οι Εναγόμενοι (από κοινού) να ανταλλάξουν λίστες τριών ουδέτερων ατόμων που είναι διαθέσιμα να διεξάγουν </w:t>
            </w:r>
            <w:proofErr w:type="spellStart"/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>διαδικασιες</w:t>
            </w:r>
            <w:proofErr w:type="spellEnd"/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 ΕΕΔ στην παρούσα υπόθεση πριν από τις …………………</w:t>
            </w:r>
            <w:r w:rsidRPr="000C44DC">
              <w:rPr>
                <w:rFonts w:ascii="Arial" w:hAnsi="Arial" w:cs="Arial"/>
                <w:i/>
                <w:iCs/>
                <w:sz w:val="24"/>
                <w:szCs w:val="24"/>
                <w:lang w:val="el-GR" w:eastAsia="el-GR"/>
              </w:rPr>
              <w:t>.(ημερομηνία).</w:t>
            </w:r>
          </w:p>
          <w:p w14:paraId="0CBE4FF4" w14:textId="77777777" w:rsidR="000C44DC" w:rsidRPr="000C44DC" w:rsidRDefault="000C44DC" w:rsidP="000C44DC">
            <w:pPr>
              <w:ind w:left="1178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</w:p>
          <w:p w14:paraId="7C0DF16B" w14:textId="77777777" w:rsidR="000C44DC" w:rsidRPr="000C44DC" w:rsidRDefault="000C44DC" w:rsidP="000C44DC">
            <w:pPr>
              <w:numPr>
                <w:ilvl w:val="1"/>
                <w:numId w:val="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Κατά ή πριν από τις ……………….. </w:t>
            </w:r>
            <w:r w:rsidRPr="000C44DC">
              <w:rPr>
                <w:rFonts w:ascii="Arial" w:hAnsi="Arial" w:cs="Arial"/>
                <w:i/>
                <w:iCs/>
                <w:sz w:val="24"/>
                <w:szCs w:val="24"/>
                <w:lang w:val="el-GR" w:eastAsia="el-GR"/>
              </w:rPr>
              <w:t>(ημερομηνία),</w:t>
            </w: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  οι διάδικοι να καταβάλλουν με καλή πίστη προσπάθειες να συμφωνήσουν σε ένα ουδέτερο άτομο από τις λίστες που ανταλλάσσονται και παρέχονται με τον τρόπο αυτό.</w:t>
            </w:r>
          </w:p>
          <w:p w14:paraId="3DF39566" w14:textId="77777777" w:rsidR="000C44DC" w:rsidRPr="000C44DC" w:rsidRDefault="000C44DC" w:rsidP="000C44DC">
            <w:pPr>
              <w:ind w:left="1178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</w:p>
          <w:p w14:paraId="44B749E3" w14:textId="77777777" w:rsidR="000C44DC" w:rsidRPr="000C44DC" w:rsidRDefault="000C44DC" w:rsidP="000C44DC">
            <w:pPr>
              <w:numPr>
                <w:ilvl w:val="1"/>
                <w:numId w:val="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Ελλείψει τέτοιας συμφωνίας έως τις ……………….. </w:t>
            </w:r>
            <w:r w:rsidRPr="000C44DC">
              <w:rPr>
                <w:rFonts w:ascii="Arial" w:hAnsi="Arial" w:cs="Arial"/>
                <w:i/>
                <w:iCs/>
                <w:sz w:val="24"/>
                <w:szCs w:val="24"/>
                <w:lang w:val="el-GR" w:eastAsia="el-GR"/>
              </w:rPr>
              <w:t>(ημερομηνία),</w:t>
            </w: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 η συνεδρία διαχείρισης της υπόθεσης </w:t>
            </w:r>
            <w:proofErr w:type="spellStart"/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>επαναορίζεται</w:t>
            </w:r>
            <w:proofErr w:type="spellEnd"/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 στις ……………….. (ημερομηνία), ή το συντομότερο δυνατό μετά την ημερομηνία αυτή, ώστε να διευκολυνθεί η επίτευξη συμφωνίας για ένα ουδέτερο άτομο.</w:t>
            </w:r>
          </w:p>
          <w:p w14:paraId="469A6F84" w14:textId="77777777" w:rsidR="000C44DC" w:rsidRPr="000C44DC" w:rsidRDefault="000C44DC" w:rsidP="000C44DC">
            <w:pPr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</w:p>
          <w:p w14:paraId="2DB503EE" w14:textId="77777777" w:rsidR="000C44DC" w:rsidRPr="000C44DC" w:rsidRDefault="000C44DC" w:rsidP="000C44DC">
            <w:pPr>
              <w:numPr>
                <w:ilvl w:val="1"/>
                <w:numId w:val="1"/>
              </w:numPr>
              <w:contextualSpacing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fr-FR" w:eastAsia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Τα μέρη, κατόπιν τυχόν </w:t>
            </w:r>
            <w:proofErr w:type="spellStart"/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>συμβουλής,θα</w:t>
            </w:r>
            <w:proofErr w:type="spellEnd"/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 πρέπει να λάβουν σοβαρά μέτρα  για να επιλύσουν τις διαφορές τους με διαδικασίες ΕΕΔ πριν από την επιλογή του ουδέτερου προσώπου κατ’</w:t>
            </w:r>
            <w:r w:rsidRPr="000C44DC">
              <w:rPr>
                <w:rFonts w:ascii="Arial" w:hAnsi="Arial" w:cs="Arial"/>
                <w:sz w:val="24"/>
                <w:szCs w:val="24"/>
                <w:lang w:val="fr-FR" w:eastAsia="el-GR"/>
              </w:rPr>
              <w:t> </w:t>
            </w: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αυτόν τον τρόπο το αργότερο έως τις……………….. </w:t>
            </w:r>
            <w:r w:rsidRPr="000C44DC">
              <w:rPr>
                <w:rFonts w:ascii="Arial" w:hAnsi="Arial" w:cs="Arial"/>
                <w:i/>
                <w:iCs/>
                <w:sz w:val="24"/>
                <w:szCs w:val="24"/>
                <w:lang w:val="fr-FR" w:eastAsia="el-GR"/>
              </w:rPr>
              <w:t>(</w:t>
            </w:r>
            <w:proofErr w:type="spellStart"/>
            <w:proofErr w:type="gramStart"/>
            <w:r w:rsidRPr="000C44DC">
              <w:rPr>
                <w:rFonts w:ascii="Arial" w:hAnsi="Arial" w:cs="Arial"/>
                <w:i/>
                <w:iCs/>
                <w:sz w:val="24"/>
                <w:szCs w:val="24"/>
                <w:lang w:val="fr-FR" w:eastAsia="el-GR"/>
              </w:rPr>
              <w:t>ημερομηνί</w:t>
            </w:r>
            <w:proofErr w:type="spellEnd"/>
            <w:r w:rsidRPr="000C44DC">
              <w:rPr>
                <w:rFonts w:ascii="Arial" w:hAnsi="Arial" w:cs="Arial"/>
                <w:i/>
                <w:iCs/>
                <w:sz w:val="24"/>
                <w:szCs w:val="24"/>
                <w:lang w:val="fr-FR" w:eastAsia="el-GR"/>
              </w:rPr>
              <w:t>α</w:t>
            </w:r>
            <w:proofErr w:type="gramEnd"/>
            <w:r w:rsidRPr="000C44DC">
              <w:rPr>
                <w:rFonts w:ascii="Arial" w:hAnsi="Arial" w:cs="Arial"/>
                <w:i/>
                <w:iCs/>
                <w:sz w:val="24"/>
                <w:szCs w:val="24"/>
                <w:lang w:val="fr-FR" w:eastAsia="el-GR"/>
              </w:rPr>
              <w:t xml:space="preserve">). </w:t>
            </w:r>
          </w:p>
          <w:p w14:paraId="1464874C" w14:textId="77777777" w:rsidR="000C44DC" w:rsidRPr="000C44DC" w:rsidRDefault="000C44DC" w:rsidP="000C44DC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fr-FR" w:eastAsia="el-GR"/>
              </w:rPr>
            </w:pPr>
          </w:p>
          <w:p w14:paraId="6FA72D2C" w14:textId="77777777" w:rsidR="000C44DC" w:rsidRPr="000C44DC" w:rsidRDefault="000C44DC" w:rsidP="000C44DC">
            <w:pPr>
              <w:numPr>
                <w:ilvl w:val="1"/>
                <w:numId w:val="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Εάν η υπόθεση δεν διευθετηθεί οριστικά, οι διάδικοι να ενημερώσουν το Δικαστήριο με επιστολή, πριν από την ανταλλαγή συμπληρωματικών </w:t>
            </w: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lastRenderedPageBreak/>
              <w:t>δηλώσεων μαρτύρων, σχετικά με τα μέτρα που έχουν ληφθεί προς την κατεύθυνση τής ΕΕΔ και (με την επιφύλαξη θεμάτων προνομίου) για τους λόγους αποτυχίας των εν λόγω ενεργειών.</w:t>
            </w:r>
          </w:p>
          <w:p w14:paraId="7B7CE485" w14:textId="77777777" w:rsidR="000C44DC" w:rsidRPr="000C44DC" w:rsidRDefault="000C44DC" w:rsidP="000C44DC">
            <w:pPr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</w:p>
          <w:p w14:paraId="0157C61F" w14:textId="77777777" w:rsidR="000C44DC" w:rsidRPr="000C44DC" w:rsidRDefault="000C44DC" w:rsidP="000C44DC">
            <w:pPr>
              <w:numPr>
                <w:ilvl w:val="1"/>
                <w:numId w:val="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>Εάν τα μέρη δεν έχουν κινήσει διαδικασίες ΕΕΔ έως τις ……………….. (</w:t>
            </w:r>
            <w:r w:rsidRPr="000C44DC">
              <w:rPr>
                <w:rFonts w:ascii="Arial" w:hAnsi="Arial" w:cs="Arial"/>
                <w:i/>
                <w:iCs/>
                <w:sz w:val="24"/>
                <w:szCs w:val="24"/>
                <w:lang w:val="el-GR" w:eastAsia="el-GR"/>
              </w:rPr>
              <w:t>ημερομηνία),</w:t>
            </w: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 η συνεδρία διαχείρισης υπόθεσης </w:t>
            </w:r>
            <w:proofErr w:type="spellStart"/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>επαναορίζεται</w:t>
            </w:r>
            <w:proofErr w:type="spellEnd"/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 xml:space="preserve"> για περαιτέρω εξέταση τής υπόθεσης.</w:t>
            </w:r>
          </w:p>
          <w:p w14:paraId="1F5833DC" w14:textId="77777777" w:rsidR="000C44DC" w:rsidRPr="000C44DC" w:rsidRDefault="000C44DC" w:rsidP="000C44DC">
            <w:pPr>
              <w:jc w:val="both"/>
              <w:rPr>
                <w:rFonts w:ascii="Arial" w:hAnsi="Arial" w:cs="Arial"/>
                <w:sz w:val="24"/>
                <w:szCs w:val="24"/>
                <w:lang w:val="el-GR" w:eastAsia="el-GR"/>
              </w:rPr>
            </w:pPr>
          </w:p>
          <w:p w14:paraId="15CA32ED" w14:textId="77777777" w:rsidR="000C44DC" w:rsidRPr="000C44DC" w:rsidRDefault="000C44DC" w:rsidP="000C44DC">
            <w:pPr>
              <w:numPr>
                <w:ilvl w:val="1"/>
                <w:numId w:val="1"/>
              </w:numPr>
              <w:contextualSpacing/>
              <w:jc w:val="both"/>
              <w:rPr>
                <w:rFonts w:ascii="Arial" w:hAnsi="Arial" w:cs="Arial"/>
                <w:lang w:val="el-GR" w:eastAsia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 w:eastAsia="el-GR"/>
              </w:rPr>
              <w:t>Τα έξοδα των διαδικασιών ΕΕΔ θα είναι έξοδα της υπόθεσης.</w:t>
            </w:r>
          </w:p>
        </w:tc>
      </w:tr>
      <w:tr w:rsidR="000C44DC" w:rsidRPr="000C44DC" w14:paraId="4733C337" w14:textId="77777777" w:rsidTr="00A619C8">
        <w:trPr>
          <w:trHeight w:val="1131"/>
        </w:trPr>
        <w:tc>
          <w:tcPr>
            <w:tcW w:w="9050" w:type="dxa"/>
          </w:tcPr>
          <w:p w14:paraId="568B8E58" w14:textId="77777777" w:rsidR="000C44DC" w:rsidRPr="000C44DC" w:rsidRDefault="000C44DC" w:rsidP="000C44DC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42E0973B" w14:textId="77777777" w:rsidR="000C44DC" w:rsidRPr="000C44DC" w:rsidRDefault="000C44DC" w:rsidP="000C44DC">
            <w:pPr>
              <w:jc w:val="both"/>
              <w:rPr>
                <w:rFonts w:ascii="Arial" w:hAnsi="Arial" w:cs="Arial"/>
              </w:rPr>
            </w:pPr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ΕΝΟΤΗΤΑ Ε – </w:t>
            </w:r>
            <w:proofErr w:type="spellStart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Διάφορ</w:t>
            </w:r>
            <w:proofErr w:type="spellEnd"/>
            <w:r w:rsidRPr="000C44DC">
              <w:rPr>
                <w:rFonts w:ascii="Arial" w:hAnsi="Arial" w:cs="Arial"/>
                <w:b/>
                <w:bCs/>
                <w:sz w:val="24"/>
                <w:szCs w:val="24"/>
              </w:rPr>
              <w:t>α</w:t>
            </w:r>
          </w:p>
          <w:p w14:paraId="3D1678B8" w14:textId="77777777" w:rsidR="000C44DC" w:rsidRPr="000C44DC" w:rsidRDefault="000C44DC" w:rsidP="000C44DC">
            <w:pPr>
              <w:jc w:val="both"/>
              <w:rPr>
                <w:rFonts w:ascii="Arial" w:hAnsi="Arial" w:cs="Arial"/>
              </w:rPr>
            </w:pPr>
          </w:p>
          <w:p w14:paraId="2221ECDC" w14:textId="77777777" w:rsidR="000C44DC" w:rsidRPr="000C44DC" w:rsidRDefault="000C44DC" w:rsidP="000C44DC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>Εκτός εάν συντρέχουν εξαιρετικές περιστάσεις:</w:t>
            </w:r>
          </w:p>
          <w:p w14:paraId="0A886860" w14:textId="77777777" w:rsidR="000C44DC" w:rsidRPr="000C44DC" w:rsidRDefault="000C44DC" w:rsidP="000C44DC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E18E40C" w14:textId="77777777" w:rsidR="000C44DC" w:rsidRPr="000C44DC" w:rsidRDefault="000C44DC" w:rsidP="000C44DC">
            <w:pPr>
              <w:tabs>
                <w:tab w:val="left" w:pos="1203"/>
              </w:tabs>
              <w:ind w:left="1203" w:hanging="425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 xml:space="preserve">8.1 Αιτήσεις παράτασης χρόνου πρέπει να υποβάλλονται το συντομότερο δυνατόν και πριν από τη λήξη της σχετικής </w:t>
            </w:r>
            <w:proofErr w:type="spellStart"/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>προθεσμίας·δεν</w:t>
            </w:r>
            <w:proofErr w:type="spellEnd"/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 xml:space="preserve"> χορηγούνται παρατάσεις προθεσμίας που ενδέχεται να θέσουν σε κίνδυνο τις ημερομηνίες ακρόασης.</w:t>
            </w:r>
          </w:p>
          <w:p w14:paraId="0BF16A8B" w14:textId="77777777" w:rsidR="000C44DC" w:rsidRPr="000C44DC" w:rsidRDefault="000C44DC" w:rsidP="000C44D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791033A" w14:textId="77777777" w:rsidR="000C44DC" w:rsidRPr="000C44DC" w:rsidRDefault="000C44DC" w:rsidP="000C44DC">
            <w:pPr>
              <w:ind w:left="1203" w:hanging="425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C44DC">
              <w:rPr>
                <w:rFonts w:ascii="Arial" w:hAnsi="Arial" w:cs="Arial"/>
                <w:sz w:val="24"/>
                <w:szCs w:val="24"/>
                <w:lang w:val="el-GR"/>
              </w:rPr>
              <w:t>8.2 Τα έξοδα της διαδικασίας επιφυλάσσονται.</w:t>
            </w:r>
          </w:p>
          <w:p w14:paraId="2135B2C5" w14:textId="77777777" w:rsidR="000C44DC" w:rsidRPr="000C44DC" w:rsidRDefault="000C44DC" w:rsidP="000C44D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417FC38" w14:textId="77777777" w:rsidR="000C44DC" w:rsidRPr="000C44DC" w:rsidRDefault="000C44DC" w:rsidP="000C44DC">
            <w:pPr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0C44DC" w:rsidRPr="000C44DC" w14:paraId="792BFD9D" w14:textId="77777777" w:rsidTr="00A619C8">
        <w:trPr>
          <w:trHeight w:val="1131"/>
        </w:trPr>
        <w:tc>
          <w:tcPr>
            <w:tcW w:w="9050" w:type="dxa"/>
          </w:tcPr>
          <w:p w14:paraId="27D4EAC6" w14:textId="77777777" w:rsidR="000C44DC" w:rsidRPr="000C44DC" w:rsidRDefault="000C44DC" w:rsidP="000C44DC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2E3F86F2" w14:textId="77777777" w:rsidR="000C44DC" w:rsidRPr="000C44DC" w:rsidRDefault="000C44DC" w:rsidP="000C44DC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5628C3A9" w14:textId="77777777" w:rsidR="000C44DC" w:rsidRPr="000C44DC" w:rsidRDefault="000C44DC" w:rsidP="000C44DC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74E70AC0" w14:textId="77777777" w:rsidR="000C44DC" w:rsidRPr="000C44DC" w:rsidRDefault="000C44DC" w:rsidP="000C44DC">
            <w:pPr>
              <w:jc w:val="both"/>
              <w:rPr>
                <w:rFonts w:ascii="Arial" w:hAnsi="Arial" w:cs="Arial"/>
                <w:lang w:val="el-GR"/>
              </w:rPr>
            </w:pPr>
          </w:p>
          <w:p w14:paraId="5E945837" w14:textId="77777777" w:rsidR="000C44DC" w:rsidRPr="000C44DC" w:rsidRDefault="000C44DC" w:rsidP="000C44DC">
            <w:pPr>
              <w:rPr>
                <w:rFonts w:ascii="Arial" w:hAnsi="Arial" w:cs="Arial"/>
                <w:sz w:val="24"/>
                <w:szCs w:val="24"/>
              </w:rPr>
            </w:pPr>
            <w:r w:rsidRPr="000C44DC">
              <w:rPr>
                <w:rFonts w:ascii="Arial" w:hAnsi="Arial" w:cs="Arial"/>
                <w:sz w:val="24"/>
                <w:szCs w:val="24"/>
              </w:rPr>
              <w:t>[</w:t>
            </w:r>
            <w:proofErr w:type="spellStart"/>
            <w:r w:rsidRPr="000C44DC">
              <w:rPr>
                <w:rFonts w:ascii="Arial" w:hAnsi="Arial" w:cs="Arial"/>
                <w:sz w:val="24"/>
                <w:szCs w:val="24"/>
              </w:rPr>
              <w:t>Σφρ</w:t>
            </w:r>
            <w:proofErr w:type="spellEnd"/>
            <w:r w:rsidRPr="000C44DC">
              <w:rPr>
                <w:rFonts w:ascii="Arial" w:hAnsi="Arial" w:cs="Arial"/>
                <w:sz w:val="24"/>
                <w:szCs w:val="24"/>
              </w:rPr>
              <w:t xml:space="preserve">αγίδα </w:t>
            </w:r>
            <w:proofErr w:type="spellStart"/>
            <w:r w:rsidRPr="000C44DC">
              <w:rPr>
                <w:rFonts w:ascii="Arial" w:hAnsi="Arial" w:cs="Arial"/>
                <w:sz w:val="24"/>
                <w:szCs w:val="24"/>
              </w:rPr>
              <w:t>Δικ</w:t>
            </w:r>
            <w:proofErr w:type="spellEnd"/>
            <w:r w:rsidRPr="000C44DC">
              <w:rPr>
                <w:rFonts w:ascii="Arial" w:hAnsi="Arial" w:cs="Arial"/>
                <w:sz w:val="24"/>
                <w:szCs w:val="24"/>
              </w:rPr>
              <w:t>αστηρίου]</w:t>
            </w:r>
          </w:p>
          <w:p w14:paraId="7C09288B" w14:textId="77777777" w:rsidR="000C44DC" w:rsidRPr="000C44DC" w:rsidRDefault="000C44DC" w:rsidP="000C44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5524A" w14:textId="77777777" w:rsidR="000C44DC" w:rsidRPr="000C44DC" w:rsidRDefault="000C44DC" w:rsidP="000C44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282AC" w14:textId="77777777" w:rsidR="000C44DC" w:rsidRPr="000C44DC" w:rsidRDefault="000C44DC" w:rsidP="000C44DC">
            <w:pPr>
              <w:rPr>
                <w:rFonts w:ascii="Arial" w:hAnsi="Arial" w:cs="Arial"/>
              </w:rPr>
            </w:pPr>
          </w:p>
        </w:tc>
      </w:tr>
    </w:tbl>
    <w:p w14:paraId="27AD5710" w14:textId="77777777" w:rsidR="000C44DC" w:rsidRPr="000C44DC" w:rsidRDefault="000C44DC" w:rsidP="000C44DC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D4AA4C0" w14:textId="1C375D4B" w:rsidR="00773070" w:rsidRPr="000C44DC" w:rsidRDefault="00773070" w:rsidP="000C44D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0C4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3B5D"/>
    <w:multiLevelType w:val="multilevel"/>
    <w:tmpl w:val="EBF2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8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4" w:hanging="1800"/>
      </w:pPr>
      <w:rPr>
        <w:rFonts w:hint="default"/>
      </w:rPr>
    </w:lvl>
  </w:abstractNum>
  <w:num w:numId="1" w16cid:durableId="98940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DC"/>
    <w:rsid w:val="000C44DC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D322"/>
  <w15:chartTrackingRefBased/>
  <w15:docId w15:val="{74779F42-DD19-4A75-B4EB-4908BA6E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C44DC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2023-07-20T13:06:00Z</dcterms:created>
  <dcterms:modified xsi:type="dcterms:W3CDTF">2023-07-20T13:06:00Z</dcterms:modified>
</cp:coreProperties>
</file>